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29.01.2024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Кадровые и иные внутренние организационные трудности не могут рассматриваться в качестве объективных и не зависящих от заявителя причин, препятствующих ему подать кассационную жалобу в установленный законом срок.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«Частная охранная организация «Агентство Экскалибур»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И.о. прокурора Севского района Брянской области Шибзухов А.А. (подробнее) И.о. прокурора Севского района Брянской области Шизбухов А.А. (подробнее) Ответчики: ООО частная охранная организация "Агентство Экскалибур"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