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24.01.2023Ю оставленным без изменения постановлением Двадцатого арбитражного апелляционного суда от 02.05.2023 и постановлением Арбитражного суда Центрального округа от 04.10.2023, удовлетворении иска отказано. В кассационной жалобе общество «Компания СТС» просит об отмене судебных актов, ссылаясь на неприменение презумпции вины перевозчика.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 силу статьи 796 Гражданского кодекса Российской Федерации ответственность перевозчика презюмируется пока не доказано обратное. В рассматриваемом случае установлено, что перевозчик не имел доступа к грузу, следовательно, признана доказанной его непричастность к недостаче. Доводы, связанные с доказательной стороной дела,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СТС»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