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29.05.2023, оставленным без изменения постановлением Девятого арбитражного апелляционного суда от 26.07.2023 и постановлением Арбитражного суда Московского округа от 17.10.2023, в удовлетворении заявления отказано. В кассационной жалобе Лерночинская И.А. просит об отмене судебных актов, ссылаясь на неустановление расходования долговых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Вывод судов о расходовании не на нужды семьи должника полученных от кредитора денежных средств основан на установленных обстоятельствах рассматриваемого спора и не противоречит статье 45 Семейного кодекса Российской Федерации, положениям Федерального закона от 26.10.2002 № 127- ФЗ «О несостоятельности (банкротстве)» и судебной практике. Оценка доказательств не попадает под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Лерночинской Ирине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