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30.08.2022, оставленным без изменения постановлением Девятого арбитражного апелляционного суда от 21.11.2022 и постановлением Арбитражного суда Московского округа от 21.02.2023, заявление удовлетворено. В кассационной жалобе ФИО1 просит об отмене судебных актов, ссылаясь на неосновательное неуменьшение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Заявление об уменьшении неустойки рассмотрено в соответствии с компетенцией, следующей из статьи 333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ААУ "ЕВРАЗИЯ" (подробнее) АО "Акционерный банк "Россия" (подробнее) АО "Уфимский тепловозоремонтный завод" (подробнее) Бухарбаев.Р.Р (подробнее) ООО Сервисная компания "Промышленный транспорт" (подробнее) ООО УПРАВЛЯЮЩАЯ КОМПАНИЯ "УТРЗ" (подробнее) ПАО Московский банк Сбербанк (подробнее) ПАО "Сбербанк России" (подробнее) Иные лица: Ассоциация АУ "Солидарность" (подробнее) Замоскворецкий ОЗАГС УЗАГС города Москвы (подробнее) Инспекция Федеральной налоговой службы №30 по г. Москве (подробнее) Судьи дела: Ксенофонтова Н.А.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