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Волгоградской области от 23.05.2023, оставленным без изменения постановлением Двенадцатого арбитражного апелляционного суда от 06.07.2023 и постановлением Арбитражного суда Поволжского округа от 11.09.2023, на управляющего наложен штраф за неисполнение судебных актов в размере 5 000 рублей. В кассационной жалобе ФИО1 просит о пересмотре судебных актов, ссылаясь на отсутствие определения об истребовании доказательств, неотнесение управляющего к должностному лицу.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Доводы управляющего оценены и не создают указанных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"БАНК ДОМ.РФ" (подробнее) Межрайонная инспекция Федеральной налоговой службы №2 по Волгоградской области (подробнее) Финансовый управляющий Марков С.Н. (подробнее) Иные лица: АССОЦИАЦИЯ "ДАЛЬНЕВОСТОЧНАЯ МЕЖРЕГИОНАЛЬНАЯ САМОРЕГУЛИРУЕМАЯ ОРГАНИЗАЦИЯ ПРОФЕССИОНАЛЬНЫХ АРБИТРАЖНЫХ УПРАВЛЯЮЩИХ" (подробнее) САМОРЕГУЛИРУЕМАЯ ОРГАНИЗАЦИЯ АССОЦИАЦИЯ АРБИТРАЖНЫХ УПРАВЛЯЮЩИХ "СИНЕРГИЯ" (подробнее) Управление Росреестра по Волгоградоской области (подробнее) управление Федеральной налоговой службы по Волгоградской области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