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05.05.2023 заявление удовлетворено, из конкурсной массы должника исключена 1/2 доли в праве собственности на квартиру. Постановлением Девятого арбитражного апелляционного суда от 01.08.2023, оставленным без изменения постановлением Арбитражного суда Московского округа от 05.10.2023, определение от 05.05.2023 отменено, в удовлетворении заявления отказано. В кассационной жалобе Новиков К.И. просит об отмене судебных актов апелляционного и окружного судов, ссылаясь на отсутствие иного пригодного для проживания жилого помещения, неисследование жилищных условий несовершеннолетних детей..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в ситуации судебного раздела квартиры с бывшей супругой и обеспеченности жильем супруги и несовершеннолетних детей должника признали отсутствие у должника исполнительского иммунитета в отношении спорной доли квартиры в связи с искусственным приданием ей должником статуса единственного для него жилья, что соответствует правовой позиции, содержащейся в постановлении Конституционного Суда Российской Федерации от 26.04.2021 № 15-П.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Новикову Кириллу Игоревичу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