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17.05.2023, оставленным без изменения постановлением Пятнадцатого арбитражного апелляционного суда от 20.07.2023 и постановлением Арбитражного суда Северо-Кавказского округа от 03.10.2023, заявление удовлетворено. В кассационной жалобе Корниенко А.Н. просит об отмене судебных актов, ссылаясь на неправильное определение очередности требования и игнорирование злоупотребления правом должником и его супругой.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кредитора, подтвержденное судебным решением, суды признали отвечающим критериям статей 71, 100 Федерального закона от 26.10.2002 № 127-ФЗ «О несостоятельности (банкротстве)» для включения основанного на нем требования в реестр. Недобросовестности и наличия правоотношений, влекущих возможность понижения очередности требования, суды не установили.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Корниенко Артуру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