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«Комсвязь» (далее – ООО «Комсвязь», общество, истец) обратилось в Арбитражный суд города Москвы с иском к индивидуальному предпринимателю Бочкаревой Наталье Васильевне (далее – ИП Бочкарева Н.В., предприниматель, ответчик) о взыскании 15 000 000 руб. задолженности по договору займа, 113 164,75 руб. процентов за пользование займом. Решением Арбитражного суда города Москвы от 02.05.2023 иск удовлетворен. Определением Девятого арбитражного апелляционного суда от 25.08.2023 производство по апелляционной жалобе ИП Бочкаревой Н.В. прекращено. В Арбитражный суд Московского округа с кассационной жалобой на определение Девятого арбитражного апелляционного суда от 25.08.2023 обратился Кривозубов Николай Михайлович (далее - Кривозубов Н.М., заявитель), действующий как лицо, чьи права и обязанности затронуты судебным актом, а также в качестве наследника ответчика. Определением Арбитражного суда Московского округа от 17.10.2023, оставленным без изменения определением от 28.11.2023, кассационная жалоба возвращена заявителю. 2 В кассационной жалобе, поданной в Верховный Суд Российской Федерации, заявитель просит отменить определения суда кассационной инстанции, ссылаясь на существенное нарушение норм процессуального права. В обоснование доводов жалобы заявитель указывает, что окружным судом не учтены положения статьи 143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Возвращая кассационную жалобу Кривозубова Н.М. на определение Девятого арбитражного апелляционного суда от 25.08.2023, суд кассационной инстанции руководствовался статьей 42, частью 1 статьи 273, пунктом 1 части 1 статьи 281 АПК РФ, а также разъяснениями, изложенными в пункте 25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принципа последовательного обжалования судебных актов судов первой и апелляционной инстанций в суд кассационной инстанции.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Кривозубова Николая Михайловича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