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28.06.2023, оставленным без изменения постановлением Пятого арбитражного апелляционного суда от 28.08.2023 и постановлением Арбитражного суда Дальневосточного округа от 20.10.2023, признано обоснованным и включено в третью очередь реестра требования в размере 536 775 рублей 17 копеек основной задолженности, 133 823 рублей 02 копеек индексации и 227 499 рублей 06 копеек финансовых санкций. В кассационной жалобе Сохан О.В. просит об изменении судебных актов в части оставления без рассмотрения требования о включении в конкурсную массу и обращении взыскания на квартиру должника, указывая, что не отказывалась от этого требования.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Согласно резолютивной части обжалуемого определения, оставленного без изменения в апелляционном и кассационном порядке, суд не принимал решения об оставлении без рассмотрения какого-либо требования кредитора, которое может быть обжаловано. Вопрос об имуществе, за счет которого подлежит удовлетворению включенное в реестр требование кредитора, разрешается в силу закона и не подлежит обсуждению в пределах рассматриваемого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Сохан Ольге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