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Поскольку оснований для передачи кассационной жалобы на рассмотрение в судебном заседании Судебной коллегии Верховного Суда Российской Федерации не имеется, ходатайство о приостановлении исполнения решения рассмотрению не подлежит (часть 5 статьи 2916 Арбитражного процессуального кодекса Российской Федерации). 2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Федеральной службе судебных приставов и Главному управлению Федеральной службы судебных приставов по Новосибирской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