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заявителем доводы основаны на ином толковании норм законодательства, направлены на переоценку установленных судами обстоятельств, повторяют позицию заявителя при рассмотрении дела, являлись предметом рассмотрения судов трех инстанций и им дана надлежащая правовая оценка. 2 Ссылка заявителя на судебную практику не свидетельствует о принятии судами неправомерных судебных актов с учетом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строительства, жилищно-коммунального хозяйства и энергетики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