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кассационных жалоб не подтверждают наличие оснований, предусмотренных статьями 2916, 29111 Арбитражного процессуального кодекса Российской Федерации, для передачи жалоб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«Регистроникс», акционерному обществу 2 «Балтийский эмиссионный союз», акционерному обществу «Дорога»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