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удовлетворяя заявленное исковое требование, суды, оценив представленные в дело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совокупности условий для привлечения ответчика к гражданско-правовой ответственности в виде возмещения убытков.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предусмотренных статьей 101 Федерального конституционного закона Российской Федерации от 21.07.1994 № 1-ФКЗ «О Конституционном Суде Российской Федерации», для обращения с запросом 2 в Конституционный Суд Российской Федерации при рассмотрении настоящей кассационной жалобы не установлено.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«СОФИЯ»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