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19.05.2023, оставленным без изменения постановлением Седьмого арбитражного апелляционного суда от 05.07.2023 и постановлением Арбитражного суда Западно-Сибирского округа от 05.10.2023, в удовлетворении заявления отказано. В кассационной жалобе Данилов С.Г. просит об отмене судебных актов, ссылаясь на реализацию неполного имущественного комплекса, недобросовестность покупателя, недопустимость реализации личного имущества, проведение торгов в период действия обеспечительных мер.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имущество продано на основании утвержденного собранием кредиторов Положения; продажа неполного комплекса имущества, а также имущества, принадлежащего лично должнику и его супруге, опровергнуты в рамках самостоятельных судебных споров; имущество продано лицу, имеющему преимущественное право покупки, в отсутствие притязаний на него лиц, потенциально имеющих такое же право и извещенных о возможности его реализации; отсутствие других нарушений, влекущих в силу статьи 449 Гражданского кодекса Российской Федерации недействительность торгов, и влияния на их итог принятых после их проведения по заявлению должника в рамках инициированного им спора обеспечительных мер.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Данилову Сергею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