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Пензенской области от 02.06.2023, оставленным без изменения постановлением Одиннадцатого арбитражного апелляционного суда от 11.09.2023 и постановлением Арбитражного суда Поволжского округа от 10.11.2023, заявление удовлетворено. В кассационной жалобе Богомолов С.М. просит об отмене судебных актов, ссылаясь на ненадлежащую оценку обстоятельств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продажу должником недвижимости в период подозрительности заинтересованному лицу в отсутствие встречного исполнения во вред имеющимся кредиторам, создавшую в силу пункта 2 статьи 61.2 Федерального закона от 26.10.2002 № 127-ФЗ «О несостоятельности (банкротстве)» условия для недействительности договора. Требуемая переоценка обстоятельств совершения сделки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Богомолову Сергею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