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Пензенской области от 15.06.2023 заявление удовлетворено. Постановлением Одиннадцатого арбитражного апелляционного суда от 13.09.2023, оставленным без изменения постановлением Арбитражного суда Поволжского округа от 14.11.2023, определение от 15.06.2023 изменено в части применения последствий недействительности сделок: Метальникова О.С. обязана возвратить в конкурсную массу Богомолова С.М. 1/19 доли в праве общей долевой собственности на нежилое помещение. В кассационной жалобе Богомолов С.М. просит об отмене судебных актов, ссылаясь на отсутствие законных условий для недействительности сделок.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совершение последовательных сделок дарения в период подозрительности между заинтересованными лицами, направленных на формальное изменение собственника имущества во избежание обращения взыскания на него по существующим обязательствам должника перед кредиторами, обусловливающее в силу пункта 2 статьи 61.2 Федерального закона от 26.10.2002 № 127-ФЗ «О несостоятельности (банкротстве)» и статей 10, 168, 170 Гражданского кодекса Российской Федерации их недействительность. Иная оценка обстоятельств заключения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Богомолову Сергею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