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23.03.2022, оставленным без изменения постановлением Одиннадцатого арбитражного апелляционного суда от 30.05.2022 и постановлением Арбитражного суда Поволжского округа от 19.08.2022, заявление удовлетворено. В кассационной жалобе ФИО1 просит об отмене судебных актов, ссылаясь на несоответствие вывода о финансовой состоятельности кредитора обстоятельствам спора и представленным доказательствам, неосновательное восстановление срока для включения требования в реестр.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предоставления денежных средств и признали их отвечающим критериям статей 71 , 100 Федерального закона от 26.10.2002 № 127-ФЗ «О несостоятельности (банкротстве)» для включения основанного на них требования в реестр. Восстановление срока для включения требования в реестр отнесено к компетенции суда, применение которой не пересматривается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Акционерное общества "РН Банк" (подробнее) ООО "Максимум" (подробнее) ПАО Банк "Финансовая Корпорация Открытие" (подробнее) Иные лица: Союз "Саморегулируемая организация арбитражных управляющих "Стратегия" (подробнее) Управление Федеральной службы государственной регистрации кадастра и картографии по Пензенской области (подробнее) УФНС РФ по Пензенской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