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Самарской области от 15.06.2023, оставленным без изменения постановлением Одиннадцатого арбитражного апелляционного суда от 08.08.2023 и постановлением Арбитражного суда Поволжского округа от 31.10.2023, заявление удовлетворено. В кассационной жалобе Меликбекян Н.Л. просит об отмене судебных актов, ссылаясь на неправильную оценку обстоятельств совершения седелки и отсутствие условий для признания ее недействительной.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Отчуждение недвижимости в пользу заинтересованного лица (матери) при недоказанности равноценного встречного предоставления и наличии обязательств перед кредиторами суды признали выходящим за пределы осуществления гражданских прав и влекущим последствия в виде недействительности сделки в силу статьей 10, 168 Гражданского кодекса Российской Федерации. Иная оценка обстоятельств совершения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Меликбекян Наталье Левоновне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