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Нижегородской области от 13.04.2023, оставленным без изменения постановлением Первого арбитражного апелляционного суда от 19.06.2023 и постановлением Арбитражного суда Волго-Вятского округа от 02.10.2023, процедура реализации имущества гражданина завершена, должник не освобожден от дальнейшего исполнения требований кредиторов. В кассационной жалобе Панков Д.А. просит об отмене судебных актов в части неосвобождения его от исполнения обязательства, ссылаясь на несоответствие вывода судов о его недобросовестности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В исследованных обстоятельствах возникновения и исполнения обязательств перед кредиторами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его исполнения.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Панкову Даниилу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