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23.08.2022 первоначальный иск оставлен без рассмотрения на основании пункта 4 части 1 статьи 148 Арбитражного процессуального кодекса Российской Федерации, встречный иск удовлетворен. Постановлением Девятого арбитражного апелляционного суда от 16.12.2022 решение суда отменено в части удовлетворения встречного иска и отказано в его удовлетворении, в остальной части решение суда оставлено без изменения. Постановлением Арбитражного суда Московского суда округа от 14.04.2023 постановление апелляционного суда отменено, дело направлено на новое рассмотрение в Девятый арбитражный апелляционный суд. При новом рассмотрении дела постановлением Девятого арбитражного апелляционного суда от 26.05.2023, оставленным без изменения 2 постановлением Арбитражного суда Московского округа от 03.10.2023, решение от 23.08.2022 оставлено без изменения. В кассационной жалобе общество «РИМ-сервис» просит об отмене судебных актов, ссылаясь на прекращение обязательств зачетом встречного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доказательства, на которое заявитель ссылался в качестве обстоятельства для прекращения обязательства и которое не признано таковым судами применительно к правилу статьи 410 Гражданского кодекса Российской Федерации, не составляет основания для кассационного пересмотра судебных актов. В рамках дела о несостоятельности (банкротстве) общества «Русская перевозочная компания» определением Арбитражного суда города Москвы от 21.06.2023 определен размер взаимных обязательств сторон по спорному договору с учетом состоявшего судебного акта по настоящему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«РИМ-сервис»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