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29.03.2023, оставленным без изменения постановлением Семнадцатого арбитражного апелляционного суда от 07.07.2023 и постановлением Арбитражного суда Уральского округа от 11.10.2023 в удовлетворении иска отказано в связи с истечением срока исковой давности, о применении которой заявил ответчик. В кассационной жалобе общество «Синдикат» просит об отмене судебных актов, ссылаясь на подписанный ответчиком акт сверки расчетов, прерывающий течение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доказательства, на которое истец ссылался в качестве обстоятельства для перерыва срока исковой давности и которое не признано таковым судами применительно к судебному толкованию статьи 203 Гражданского кодекса Российской Федерации, не составляет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«Синдикат»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