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26.05.2023, оставленным без изменения постановлением Пятого арбитражного апелляционного суда от 17.07.2023 и постановлением Арбитражного суда Дальневосточного округа от 02.10.2023, заявление удовлетворено. В кассационной жалобе Курысь К.Я. просит об отмене судебных актов, ссылаясь на незаконность судебного акта о признании заявления кредитора обоснованным и введении в отношении должника процедуры реструктуризации долгов гражданина.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установили условий для отказа в удовлетворении требования арбитражного управляющего о выплате фиксированной суммы вознаграждения и понесенных расходов в порядке пункта 4 статьи 213.9 Федерального закона от 26.10.2002 №127-ФЗ «О несостоятельности (банкротстве)», поскольку на дату обращения в арбитражный суд с заявлением о признании Курысь К.Я. несостоятельным у него имелась задолженность в размере, достаточном для возбуждения дела о банкротстве. Доводы кассационной жалобы не подтверждают нарушения норм права и не создают указанных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Курысь Константину Яковлевичу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