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14.03.2023, оставленным без изменения постановлением Первого арбитражного апелляционного суда от 11.07.2023 и постановлением Арбитражного суда Волго-Вятского округа от 06.10.2023, исковые требования удовлетворены в части взыскания 26 075 рублей задолженности. В кассационной жалобе компания просит об отмене судебных актов, ссылаясь на неправильное применение исковой давности, ошибочное принятие довода ответчика о зачете встречных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требование основано на договоре транспортной экспедиции от 11.03.2020 № RU20CH000018068, к вытекающим из которого требованиям применяется установленный статей 13 Федерального закона от 30.06.2003 № 87-ФЗ «О транспортно-экспедиционной деятельности» и пунктом 3 статьи 797 Гражданского кодекса Российской Федерации срок исковой давности. Размер задолженности компетентно определен судами и связанные с ним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 экспедиционная компания РУСГЛОБАЛ»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 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