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26.01.2024 обратился в Верховный Суд Российской Федерации с жалобой на определение судьи Верховного Суда Российской Федерации от 18.10.2023 № 309-ЭС23-18590, решение Арбитражного суда Удмуртской Республики от 12.12.2022, постановление Семнадцатого арбитражного апелляционного суда от 21.02.2023 и постановление Арбитражного суда Уральского округа от 03.07.2023 по делу № А71-4009/2021,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В отсутствие уважительных причин пропуска указанного срока ссылка заявителя на неистечение шестимесячного пресекательного срока не может быть принята во внимание.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Гайсина Рустема Ильгизовича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