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20.01.2023, оставленным без изменения постановлением Четвертого арбитражного апелляционного суда от 11.04.2023 и постановлением Арбитражного суда Восточно-Сибирского округа от 18.07.2023, в удовлетворении иска отказано. В кассационной жалобе общество «Гринлайт» просит об отмене судебных актов, ссылаясь на игнорирование нарушения ответчиком согласованного срока принятия вагонов к перевозке, в том числе независимо от наличия договора постановки вагона в ремонт, и отличные по сравнению с другими аналогичными делами выводы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обоснованными возражения ответчика по каждому заявленному истцом случаю простоя вагонов, признав отсутствие причинно- следственной связи между несвоевременной отправкой вагонов по назначению в том числе и по не допускающей эксплуатацию причине неисправности и несением расходов на аренду в качестве необходимого в силу статей 15, 393 Гражданского кодекса Российской Федерации условия для взыскания убытков. Обстоятельства, составляющие условия для взыскания убытков, устанавливаются в каждом конкретном случае, поэтому их оценка не может подчиняться единообразию и сравниваться с имевшей место в других делах.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«Гринлайт»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