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«Сервис-Телематика» (далее – ООО «Сервис-Телематика», общество, истец, заявитель)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«АврораИнжиниринг» (далее – ООО «АврораИнжиниринг») о взыскании 5 593 536,63 руб. пеней, начисленных за период с 01.07.2020 по 31.09.2020, штрафа в сумме 1 800 000 руб., начисленного за период с 24.07.2022 по 08.08.2022, а также 143 640,07 руб. убытков. Ответчик заявил встречный иск. Решением Арбитражного суда города Москвы от 17.04.2023 встречное исковое заявление было возвращено; исковые требования удовлетворены частично, с ООО «АврораИнжиниринг» в пользу ООО «Сервис-Телематика» взыскано 143 640,07 руб. убытков, пени в сумме 370 005,92 руб., штраф в 2 размере 180 000 руб., а также 60 686 руб. расходов по оплате государственной пошлины. Постановлением Девятого арбитражного апелляционного суда от 06.07.2023 решение суда изменено в части взыскания убытков и расходов по оплате государственной пошлины, в удовлетворении требования о взыскании убытков отказано в полном объеме. Постановлением Арбитражного суда Московского округа от 17.10.2023 решение Арбитражного суда города Москвы от 17.04.2023 (в неизмененной части) и постановление Девятого арбитражного апелляционного суда от 06.07.2023 оставлены без изменения. В кассационной жалобе, поданной в Верховный Суд Российской Федерации, заявитель просит изменить состоявшиеся судебные акты в части взысканных пеней и штрафа,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необоснованно применили статью 333 Гражданского кодекса Российской Федерации (далее – ГК РФ) и снизили заявленные пени и штраф.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18.07.2019 между ООО «Сервис- Телематика» (подрядчик) и ООО «АврораИнжиниринг» (субподрядчик) был заключен договор субподряда (рамочный) № АИ-2019 в редакции дополнительного соглашения № 1 от 18.07.2019 и в редакции дополнительного соглашения № 2 от 23.04.2020. Согласно условиям договора ответчик обязался выполнить собственными силами комплекс работ по строительству (реконструкции) в 2019 году объектов инвестиционной программы «Оборудование ТСОТБ объектов транспортной инфраструктуры и транспортных средств», указанных в приложении № 1 к договору, в соответствии с положениями договора и на основании дополнительных соглашений к нему. Как указал истец, ответчиком были нарушены сроки выполнения работ, установленные договором. Согласно пункту 15.1.1 договора за нарушение субподрядчиком срока начала и (или) окончания выполнения работ, отдельных этапов (видов) работ, 3 установленных договором и предусмотренных в соответствующих календарных планах, подрядчиком начисляется неустойка в размере 0,5% от указанной в пунктом 2.1 договора стоимости работ за каждый день просрочки. В соответствии с пунктом 2.1 договора, общая совокупная стоимость работ по договору (общая цена договора) складывается из совокупности стоимости всех работ, выполняемых субподрядчиком в соответствии со всеми заключенными сторонами дополнительными соглашениями к договору, и не может превышать 50 676 329,16 руб., в том числе НДС 20% - 8 446 054,86 руб. Поскольку ответчик допустил нарушение сроков окончания выполнения работ не по всем объектам, указанным в договоре, а также учитывая баланс интересов сторон, истец посчитал возможным снизить размер неустойки за просрочку окончания сроков выполнения работ и рассчитать ее, исходя из стоимости работ только по тем объектам, по которым допущена просрочка окончания выполнения работ. Согласно расчету истца, неустойка за просрочку окончания сроков выполнения работ, с учетом произведенного зачета встречных однородных требований, составила 5 593 536,63 руб. Также, как указал истец, на объектах «Модернизация технических средств обеспечения транспортной безопасности ж.д. вокзала Уссурийск» и «Модернизация технических средств обеспечение транспортной безопасности ж.д. моста ч/р Бикин на 8 759 км. перегона Звеньевой - Бикин» в течение установленного пунктом 12.2 договора гарантийного срока эксплуатации были выявлены недостатки выполненных работ. Согласно пункту 12.3 договора срок устранения субподрядчиком недостатков, возникших в том числе, в течение гарантийного срока, составляет 5 календарных дней (если иной срок не установлен сторонами). В пункте 15.1.1.5 договора установлено, что при задержке в устранении дефектов/недостатков в работах (отдельных видах/этапах/объемах работ), подрядчик вправе потребовать уплаты штрафа в размере 100 000 руб. за каждый календарный день просрочки, который начисляется отдельно по каждому виду/этапу/объему работ, имеющему соответствующий срок выполнения. Согласно расчету истца, штраф за задержку устранения дефектов/недостатков в работах на объекте «Модернизация технических средств обеспечения транспортной безопасности ж.д. вокзала Уссурийск» составляет 1 600 000 руб., штраф за задержку устранения дефектов/недостатков в работах на объекте «Модернизация технических средств обеспечение транспортной безопасности ж.д. моста ч/р Бикин на 8 759 км. перегона Звеньевой - Бикин» составляет 200 000 руб. Также, согласно позиции истца, обществу причинены убытки в сумме 143 640,07 руб., которые составляют разницу между стоимостью невыполненных ответчиком работ и ценой замещающего договора. Поскольку реализованный истцом досудебный порядок урегулирования спора не принес положительного результата, истец обратился в суд с настоящим иском. 4 Исследовав и оценив по правилам статей 9, 65, 68, 71 АПК РФ представленные доказательства, руководствуясь статьями 15, 309-310, 330, 333, 393.1-394, 421-422, 431, 702, 721-722, 728 ГК РФ, установив факт нарушения ответчиком сроков выполнения работ и устранения выявленных дефектов/недостатков сданных работ, придя к выводу о наличии оснований для снижения размера пеней и штрафа в порядке статьи 333 ГК РФ, суд первой инстанции частично удовлетворил требования истца о взыскании неустойки. Признав доказанным наличие всех элементов состава гражданско- правовой ответственности, влекущей взыскание убытков, суд удовлетворил данное требование истца в полном объеме. Повторно исследовав и оценив представленные доказательства, руководствуясь теми же нормами права, суд апелляционной инстанции согласился с выводами суда первой инстанции в части взысканной неустойки. Отменяя решение суда первой инстанции в части взысканных убытков, суд апелляционной инстанции исходил из того, что в замещающий договор были включены работы, которые не были предусмотрены договором, заключенным между истцом и ответчиком, а стоимость работ группы «А» по замещающему договору ниже, чем по первоначальному. Суд округа поддержал выводы суда первой инстанции (в неизмененной части) и суда апелляционной инстанции.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«Сервис-Телематика»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