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03.07.2023 в удовлетворении заявления отказано. Постановлением Десятого арбитражного апелляционного суда от 31.08.2023, оставленным без изменения постановлением Арбитражного суда Московского округа от 21.11.2023, определение суда первой инстанции отменено, из конкурсной массы должника исключена квартира. В кассационной жалобе Катков С.М. просит об отмене постановлений судов апелляционной и кассационной инстанций, ссылаясь на искусственное придание квартире исполнительского иммунитета и игнорирование судами недобросовестности в поведении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попадание спорного недвижимого имущества под исполнительский иммунитет, разрешив заявление должника в соответствии со статьей 446 Гражданского процессуального кодекса Российской Федерации, статьей 213.25 Федерального закона от 26.10.2002 № 127-ФЗ «О несостоятельности (банкротстве)» и позициями Конституционного и Верховного Судов Российской Федерации в отношении жилищных прав должника в процедурах банкротства. Совершение ранее сделки с квартирой, признанной недействительной судом, не относится к действиям, влекущим снятие исполнительского иммунитета.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Каткову С.М.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