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Пермского края от 13.04.2023, оставленным без изменения постановлением Семнадцатого арбитражного апелляционного суда от 16.06.3023 и постановлением Арбитражного суда Уральского округа от 03.10.2023, заявление удовлетворено. В кассационной жалобе Шеревкулова О.В. просит об отмене судебных актов, ссылаясь на пропуск срока исковой давности, недоказанность значимых обстоятельств и нарушение оценки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отчуждение бывшей супругой должника общего имущества, подлежащего включению в конкурсную массу, в период существования неисполненного обязательства перед кредитором и с целью вывода имущества из под взыскания по долгам, нарушающие пункт 1 статьи 213.25, пункт 7 статьи 213.26 Федерального закона от 26.10.2002 № 127-ФЗ «О несостоятельности (банкротстве)», статьи 34, 44 Семейного кодекса Российской Федерации, суды применили соответствующие последствия. Срок исковой давности для предъявившего требование финансового управляющего исчислен в соответствии со статьей 200 Гражданского кодекса Российской Федерации. Доводы, приведенные в кассационной жалобе, являлись предметом рассмотрения судов, получили надлежащую правовую оценку и не создают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Шеревкуловой Оксане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