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02.06.2023, оставленным без изменения постановлением Девятого арбитражного апелляционного суда от 10.08.2023 и постановлением Арбитражного суда Московского округа от 24.10.2023, заявление удовлетворено. В кассационных жалобах Егоркина А.В. и Хрунова И.К. просят об отмене судебных актов, ссылаясь на неправильную оценку обстоятельств заключения сделок, невозможность признания недействительной сделки, заключенной в отношении имущества, обладающего исполнительским иммунитетом, неприменение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 совершение последовательных безвозмездных сделок между заинтересованными лицами, направленных на формальное изменение собственника имущества во избежание обращения взыскания на него по обязательствам должника перед кредиторами, в качестве условий для их недействительности в силу статей 10, 168, 170 Гражданского кодекса Российской Федерации. Иное обоснование характера и цели совершения сделок не создает оснований для кассационного пересмотра судебных актов. Вопрос о наличии у спорной квартиры статуса единственного пригодного для проживания должника и членов его семьи жилого помещения разрешается в самостоятельном порядке. Доводу о сроке исковой давности дана правовая оценка судов.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Егоркиной Анне Владимировне и Хруновой Ирине Константиновне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