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02.06.2023, оставленным без изменения постановлением Девятого арбитражного апелляционного суда от 26.07.2023 и постановлением Арбитражного суда Московского округа от 10.10.2023, процедура реализации имущества гражданина завершена, должник освобожден от дальнейшего исполнения требований кредиторов. В кассационной жалобе Масленников В.В.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поведение должника в ситуациях образования и погашения задолженности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Масленникову Владимиру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