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06.03.2023, оставленным без изменения постановлением Тринадцатого арбитражного апелляционного суда от 20.06.2023 и постановлением Арбитражного суда Северо-Западного округа от 29.09.2023, в удовлетворении заявления отказано. В кассационной жалобе Вязовский К.О. просит об отмене судебных актов, ссылаясь на ненадлежащее исследование обстоятельств и оценку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Установленные обстоятельства заявленных правоотношений суды признали не отвечающими критериям статей 71, 100 Федерального закона от 26.10.2002 № 127-ФЗ «О несостоятельности (банкротстве)» для включения основанного на них требования в реестр должника. Доказывание и оценка доказательств, на которых построены доводы жалобы, не создают указанных оснований для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Вязовскому Кириллу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