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05.04.2023, оставленным без изменения постановлением Двенадцатого арбитражного апелляционного суда от 08.06.2023 и постановлением Арбитражного суда Поволжского округа от 12.10.2023, в удовлетворении иска отказано. В кассационной жалобе Федоров С.С. просит об отмене судебных актов, ссылаясь на игнорирование 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785, 790 Гражданского кодекса Российской Федерации, суды признали ненадлежащими доказательствами исполнения договора перевозки транспортные накладные с внесенными изменениями и составленный в одностороннем порядке акт сверки.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Федорову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