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Волгоградской области от 16.05.2023, оставленным без изменения постановлением Двенадцатого арбитражного апелляционного суда от 17.07.2023 и постановлением Арбитражного суда Поволжского округа от 05.10.2023, заявление удовлетворено. В кассационной жалобе ФИО1 просит об отмене судебных актов, ссылаясь на неправильную оценку обстоятельств совершения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Отличная от судебной оценка установленных обстоятельств совершения сделок не создает обозначенных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банк "Национальный стандарт" (подробнее) КОМИТЕТ ЗЕМЕЛЬНЫХ РЕСУРСОВ И ГРАДОСТРОИТЕЛЬСТВА АДМИНИСТРАЦИИ ГОРОДСКОГО ОКРУГА - ГОРОД ВОЛЖСКИЙ ВОЛГОГРАДСКОЙ ОБЛАСТИ (подробнее) ООО "Мастер-Инструмент" в лице к/у Дудакова К.Е. (подробнее) Иные лица: Арбитражный суд Волгоградской области (подробнее) Ассоциация "Межрегиональная саморегулируемая организация арбитражных управляющих" (подробнее) Булычёв Геннадий Васильевич (подробнее) Двенадцатый Арбитражный апелляционный суд (подробнее) Инспекция Федеральной налоговой службы по Дзержинскому району г. Волгограда (подробнее) ООО "Мастер-инструмент" (подробнее) ООО "Транс-Мастер"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