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05.06.2023, оставленным без изменения постановлением Восемнадцатого арбитражного апелляционного суда от 14.08.2023 и постановлением Арбитражного суда Уральского округа от 08.11.2023, иск удовлетворен. В кассационной жалобе общество «КЕММА» просит об отмене судебных актов, ссылаясь на неправомерность возложения на него ответственности.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Вопреки доводам жалобы суды установили условия для ответственности за неисправность вагона.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«КЕММА»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