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20.09.2023, оставленным без изменения постановлением Девятого арбитражного апелляционного суда от 07.11.2023, заявление удовлетворено. В кассационной жалобе Качура Д.Д. просит об отмене судебных актов, поскольку суммарный размер нерассмотренных требований кредиторов не повлиял бы на правомочность решения.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установили своевременное предъявление в суд требований к должнику, не рассмотренных к моменту проведения собрания, признав нарушение управляющим, осведомленным о требованиях, статей 14, 15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Качуре Д.Д.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