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21.03.2023, оставленным без изменения постановлением Десятого арбитражного апелляционного суда от 08.06.2023 и постановлением Арбитражного суда Московского округа от 08.11.2023, требование признано обоснованным и подлежащим удовлетворению в очередности, предшествующей распределению ликвидационной квоты. В кассационной жалобе акционерное общество «Промжелдортранс» просит об отмене судебных актов в части установления очередности удовлетворения требований, ссылаясь на неправильную оценку обстоятельств предоставления займов.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Требование о переоценке установленных судами обстоятельств предоставления займов не создает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«Промжелдортранс»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