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29.03.2023 в удовлетворении заявления отказано. Девятый арбитражный апелляционный суд постановлением от 27.07.2023 отменил определение от 29.03.2023 и признал сделку должника по выдаче простого векселя от 05.12.2014 на сумму 40 000 000 рублей недействительной. Арбитражный суд Московского округа постановлением от 11.10.2023 постановление апелляционного суда от 27.07.2023 оставил без изменения. В кассационной жалобе Потапов А.В. просит об отмене судебных актов апелляционного и окружного судов, ссылаясь на несоответствие выводов судов фактическим обстоятельствам спора и отсутствие оснований для признания сделки недействительной по общегражданским основаниям.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Отмена апелляционным определением Московского городского суда от 30.05.2023 решения Хамовнического районного суда г.Москвы от 02.09.2015 по делу № 2-3831/2015 о взыскании с должника в пользу кредитора денежных средств по простому векселю от 05.12.2014 и установленные в рассматриваемом споре обстоятельства выдачи векселя апелляционный суд признал создающими условия для недействительности сделки, положенной в основу выдачи векселя, недействительной в силу статей 10, 168, 170 Гражданского кодекса Российской Федерации и судебной практики их применения в делах о банкротстве. Иная оценка заявителем обстоятельств заключения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Потапову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