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26.03.2023, оставленным без изменения постановлением Одиннадцатого арбитражного апелляционного суда от 22.06.2023, заявление ФИО2 о разрешении разногласий с финансовым управляющим удовлетворено, заявление ФИО1 о процессуальном правопреемстве удовлетворено, в удовлетворении жалобы ФИО1 на действия (бездействие) финансового управляющего отказано. Арбитражный суд Поволжского округа постановлением от 25.09.2023 отменил определение от 26.03.2023 и постановление апелляционного суда от 22.06.2023 и направил спор на новое рассмотрение в арбитражный суд первой инстанции. В кассационной жалобе ФИО1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спора из-за неустановления нижестоящими судами значимых обстоятельств и неприменения надлежащих ном права, действовал в силу предоставленных статьями 286 - 288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Коммерческий банк экономического развития "Банк Казани", г.Казань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