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Алтай от 28.06.2023, оставленным без изменения постановлением Седьмого арбитражного апелляционного суда от 23.08.2023 и постановлением Арбитражного суда Западно-Сибирского округа от 13.11.2023, в удовлетворении заявления отказано. В кассационной жалобе Губайдуллин Р.Ш. просит об отмене судебных актов, ссылаясь на нарушение норм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должника о самостоятельном инициировании судом проверки определения от 20.04.2023 в связи с новыми обстоятельствами и нарушение порядка формирования суда для такой проверки опровергаются подачей обществом с ограниченной ответственностью «ЭстейтК» рассмотренного заявления о пересмотре судебного акта по новым обстоятельствам и заменой судьи в связи с отставкой в действующем порядке. Оснований для отвода и самоотвода судьи, указанных в статье 21 Арбитражного процессуального кодекса Российской Федерации, не подтверждено. В связи с оставлением заявления без удовлетворения обжалуемые судебные акты не изменили существовавшего до их принятия положения, поэтому их пересмотр по указанным основаниям исключается.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Губайдуллину Рашиту Шайхулловичу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