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Восканян Мгер Жораевич (подробнее) Ответчики: Управление архитектуры, градостроительства и земельных отношений Администрации Петропавловск-Камчатского городского округа (подробнее) Иные лица: Арбитражный суд Дальневосточного округа (подробнее)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