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19.05.2023, оставленным без изменения постановлением Десятого арбитражного апелляционного суда от 13.07.2023 и постановлением Арбитражного суда Московского округа от 03.10.2023, в удовлетворении первоначального иска отказано, встречный иск удовлетворен. В кассационной жалобе общество «Идеал-Агро» просит об отмене судебных актов, ссылаясь на неустановление оснований для уменьшения убытков, на размер которых общество не могло повлиять иным, кроме заявленного иска, способом.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15 Гражданского кодекса Российской Федерации действует принцип полного возмещения убытков. Условия для возмещения убытков – нарушение обществом «Идеал-Агро» договора-заявки на перевозку груза № 9710 от 29.09.2022, причинно-следственная связь между нарушением срока доставки груза и возмещением контрагентом по этому договору (обществом «Абсолют Прайм») убытков грузоотправителю, размер убытков – установлены. Недобросовестных действий контрагента для уменьшения размера ответственности обществом «Идеал-Агро» в силу статьи 404 Гражданского кодекса Российской Федерации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«Идеал-Агро»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ООО ИДЕАЛ-АГРО (подробнее) Ответчики: ООО АБСОЛЮТ ПРАЙМ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