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истец) обратилась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«Кьютэк» (далее – общество, ответчик, заявитель) о взыскании 9 566 022,78 руб. долга, 3 627 521,63 руб. неустойки, а также неустойки, начисленной на 9 566 022,78 руб. долга, в размере 0,1% за каждый день просрочки за период с 09.02.2023 по день фактической уплаты денежных средств.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«Торговый дом «Кьютэк» (далее – ООО «ТД «Кьютэк»), индивидуальный предприниматель ФИО2 (далее – ФИО2, предприниматель). Решением Арбитражного суда города Москвы от 13.03.2023, оставленным без изменения постановлением Девятого арбитражного апелляционного суда от 05.06.2023, иск удовлетворен. Постановлением Арбитражного суда Московского округа от 10.10.2023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суды не установили объем и стоимость фактически оказанных предпринимателем услуг, не учли обстоятельства, установленные в рамках дела № А40-244750/2022.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предпринимателем (консультант) и обществом (клиент) было заключено соглашение о возмездном оказании услуг от 03.06.2019 (далее – соглашение), предметом которого является оказание консультантом консультационных услуг клиенту по заключению предполагаемой сделки с банком (далее – консультационные услуги). По смыслу пункта 1 преамбулы соглашения под предполагаемой сделкой понимается привлечение финансирования в пользу клиента (компании), его участников и/или аффилированных с ними лиц путем получения банковских лимитов на долговое финансирование, а также лимитов на банковские гарантии под осуществление деятельности клиента, компании и аффилированных лиц. Таким образом, соглашение является договором о возмездном оказании консультационных услуг в финансовой сфере, направленных на осуществление консультантом в интересах клиента фактической деятельности по переработке информации и передаче знаний, необходимых для разрешения конкретной задачи клиента – привлечения инвестирования в бизнес, аффилированный с клиентом, в указанной в соглашении форме финансирования, – предусматривающего возникновение обязательства по встречному исполнению клиента по оплате предоставления консультанта с момента наступления условия, зависящего как от действий клиента, так и от внешних обстоятельств (предоставление банком кредита, займа, банковской гарантии и т.п.). В пункте 1.1 соглашения стороны указали конкретный перечень закрепленных банков, от которых предполагалось получение финансирования с привлечением консультанта. К числу таких банков был отнесен ряд кредитных организаций, в том числе акционерное общество «Российский Банк поддержки малого и среднего предпринимательства» (далее – банк МСП). Во исполнение соглашения консультантом от клиента были получены и проанализированы правоустанавливающие и финансовые документы компаний, документы на принадлежащие клиенту и его аффилированным лицам активы (объекты недвижимого имущества, права требования, ценные бумаги и т.п.), клиенту были даны рекомендации по реструктуризации задолженности, даны консультации по всем возникающим вопросам в процессе кредитования, для клиента организован ряд встреч с закрепленными инвесторами / кредиторами (в том числе и с сотрудниками банка МСП (АО), Сбербанка и проч.), а также осуществлены иные необходимые по экспертному мнению консультанта мероприятия. Также в рамках исполнения обязательств по указанному соглашению, стороны рассматривали различные варианты финансирования, подавались заявки в различные кредитные организации по вопросам кредитования, с участием консультанта была реструктуризирована задолженность компании и аффилированных лиц. В соответствии с пунктом 2.1 соглашения консультант осуществлял непосредственное взаимодействие с клиентом, его работниками и потенциальными кредиторами (банками), в частности, разрешал возникающие вопросы о целях кредитования, давал рекомендации об устанавливаемых лимитах и сублимитах кредитов, изменениях ковенантного пакета, включая EBITDA, структуры и видов обеспечения, стоимости залогового обеспечения, применимой ставки кредитования, графика погашения задолженности и прочим вопросам в интересах клиента. В соответствии с пунктом 3.1 соглашения консультационные услуги считаются оказанными по факту принятия банком положительного решения в отношении кредитного лимита банковского финансирования для клиента и/или аффилированных лиц, а также заключения кредитного договора с банком и получения от него денежных средств. В соответствии с пунктом 9.1 соглашения оно действует до 30.06.2021. При этом в случае получения клиентом и/или аффилированными лицами кредита от банков, указанных в пункте 1.1 соглашения, до 30.06.2021, а также в течение и после истечения данного срока, но при условии принятия решения кредитного комитета банка по установлению кредитного лимита до истечения данного срока, услуги считаются оказанными консультантом и подлежат оплате в полном объеме. В пункте 1.1 соглашения стороны договорились, что вознаграждение консультанта за успех составляет 3 % (три процента) от суммы сделки (кредит банка или заём). Оплата вознаграждения, согласно пункту 4.1 соглашения, осуществляется в течение 5 рабочих дней с момента получения клиентом финансирования по сделке. При этом выплата вознаграждения по кредиту осуществляется пропорционально получению кредита в банке, по максимальной выборке с учетом ранее выплаченного вознаграждения. Результатом оказанных консультантом услуг стало заключение клиентом и аффилированным с ним лицом ряда соглашений о финансировании с банком МСП, указанным в соглашении в качестве закрепленного банка. Так, обществом заключен договор № 12Р-К-7420/19 об открытии возобновляемой кредитной линии от 30.12.2019 с установленным лимитом выдачи 499 000 000 руб., со сроком кредита по 29.12.2022, включительно. Согласно позиции истца, объем фактически выданных в рамках указанного кредитного договора денежных средств составил 499 000 000 руб. Также, ООО «ТД «Кьютэк» заключен договор № 12Р-К-8449/20 об открытии возобновляемой кредитной линии от 31.12.2020 с установленным лимитом выдачи 200 000 000 руб., со сроком кредита по 31.12.2023, включительно. В качестве группы компаний указаны следующие лица: ООО «Кьютэк» (ИНН &lt;***&gt;), заемщик (ООО «ТД «Кьютэк», ИНН &lt;***&gt;), ООО «Телекор» (ИНН &lt;***&gt;), ООО «НПФ Система» (ИНН &lt;***&gt;), ООО «Октогрупп» (ИНН &lt;***&gt;), ООО «Неосистемс» (ИНН &lt;***&gt;). Объем фактически выданных в рамках указанного кредитного договора денежных средств составил 200 000 000 руб. В качестве обеспечения в том числе было представлено поручительство ФИО3 на всю сумму обязательств по указанным кредитным договорам. Таким образом, принятые в соответствии с соглашением обязательства консультант исполнил в полном объеме и у клиента возникла обязанность уплатить установленную соглашением сумму вознаграждения в размере 20 970 000 руб., что составляет 3 % от суммы полученного ООО «Кьютэк», ООО «ТД «Кьютэк» финансирования. Часть из указанной суммы вознаграждения была оплачена клиентом (8 400 000 руб.), что составляет 3 % от суммы 280 000 000 руб. Вместе с тем, оставшаяся часть оказанных услуг ответчиком не оплачена. 21.06.2022 все права по соглашению были уступлены в пользу индивидуального предпринимателя ФИО4 (в настоящий момент - ИП ФИО1, цессионарий), о чем консультант и истец 21.06.2022 заключили договор об уступке прав требования по соглашению о возмездном оказании услуг от 03.06.2019 (далее – договор цессии). Ответчик был надлежащим образом уведомлен о замене кредитора по соглашению, что подтверждается уведомлением, направленным в адрес ответчика 23.06.2022. Поскольку в добровольном порядке ответчиком задолженность не была погашена, истец обратился в суд с настоящим иском. Разрешая спор и удовлетворяя иск,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руководствуясь статьями 309 - 310 , 329330, 421 , 779 , 781 - 782 Гражданского кодекса Российской Федерации (далее – ГК РФ), разъяснениями, данными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того, что факт оказания услуг на спорную сумму подтвержден при отсутствии их оплаты. Ссылка общества на решение Арбитражного суда города Москвы от 02.03.2023 по делу № А40-244750/2022 несостоятельна, поскольку постановлением Арбитражного суда Московского округа от 22.11.2023 указанное решение и постановление суда апелляционной инстанции отменены, дело направлено на новое рассмотрение в суд первой инстанции, в настоящее время указанный спор не рассмотрен по существу.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«Кьютэк»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"КЬЮТЭК"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