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14.04.2023, оставленным без изменения постановлением Девятого арбитражного апелляционного суда от 03.07.2023 и постановлением Арбитражного суда Московского округа от 25.09.2023, в удовлетворении заявления отказано. В кассационной жалобе Ананьева Л.Н. просит об отмене судебных актов, ссылаясь на неустранение противоречий в установленных в различных спорах фактических обстоятельствах.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непопадание заявленного обстоятельства под признаки, необходимые в силу пункта 1 части 2 статьи 311 Арбитражного процессуального кодекса Российской Федерации для пересмотра судебного акта.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Ананьевой Людмиле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