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05.07.2023 и постановлением Арбитражного суда Московского округа от 25.09.2023, в удовлетворении заявления отказано. В кассационной жалобе Ананьева Л.Н. просит об отмене судебных актов, ссылаясь на неустранение противоречий в установленных в различных спорах фактических обстоятельствах.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непопадание заявленного обстоятельства под признаки, необходимые в силу пункта 1 части 2 статьи 311 Арбитражного процессуального кодекса Российской Федерации для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Ананьевой Людмиле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