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19.01.2024 обратился в Верховный Суд Российской Федерации с жалобой на определение судьи Верховного Суда Российской Федерации от 28.12.2023 № 305-ЭС23-25328, решение Арбитражного суда Московской области от 24.01.2023, постановление Десятого арбитражного апелляционного суда от 28.06.2023 и постановление Арбитражного суда Московского округа от 13.09.2023 по делу № А41-64186/2022,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«Восход»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"Восход" (подробнее) Ответчики: ООО "СЕРПУХОВСКАЯ БУМАГА"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