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11.04.2023, оставленным без изменения постановлением Тринадцатого арбитражного апелляционного суда от 30.06.2023, в удовлетворении заявления отказано. Арбитражный суд Северо-Западного округа постановлением от 16.10.2023 отменил определение от 11.04.2023 и постановление апелляционного суда от 30.06.2023 и направил заявление на новое рассмотрение в арбитражный суд первой инстанции. В кассационной жалобе Степанов Р.С.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установив неисследование судами нижестоящих инстанций значимых обстоятельств, признал необходимость нового рассмотрения спора в пределах имеющихся в силу статей 286 - 288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Степанову Р.С.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