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ФИО2 (далее – ФИО2, истец по первоначальному иску) обратилась в Арбитражный суд Саратовской области с иском, уточненным в порядке статьи 49 Арбитражного процессуального кодекса Российской Федерации (далее – АПК РФ) к индивидуальному предпринимателю ФИО1 (далее - ФИО1, заявитель), индивидуальному предпринимателю ФИО3 (далее - ФИО3) (далее совместно – ответчики по первоначальному иску) о солидарном взыскании 1 477 914,80 руб. неосновательного обогащения, убытков в размере 1 069 497,10 руб. К совместному рассмотрению с первоначальным иском судом был принят встречный иск ФИО3, уточненный в порядке статьи 49 АПК РФ , о взыскании с ФИО2 999 309,20 руб. задолженности за фактически выполненные работы, расходов по оплате экспертного исследования в размере 25 000 руб., 80 000 руб. расходов за составление экспертного заключения. К участию в деле в качестве третьих лиц, не заявляющих самостоятельных требований относительно предмета спора, привлечены: ФИО4, ФИО5. Решением Арбитражного суда Саратовской области от 17.04.2023 в удовлетворении первоначального и встречного исков отказано. Постановлением Двенадцатого арбитражного апелляционного суда от 12.07.2023, оставленным без изменения постановлением Арбитражного суда Поволжского округа от 24.10.2023, решение суда первой инстанции отменено в обжалуемой части частично, с ФИО1 и ФИО3 солидарно в пользу ФИО2 взыскано 1 417 914,80 руб. неотработанного аванса, 19 891 руб. расходов по оплате государственной пошлины при подаче искового заявления, расходы по оплате государственной пошлины за рассмотрение апелляционной жалобы в размере 1 670 руб. В остальной части решение суда оставлено без изменения. В кассационной жалобе, поданной в Верховный Суд Российской Федерации, заявитель просит отменить постановления судов апелляционной и кассационной инстанций,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на ошибочность выводов судов апелляционной и кассационной инстанций о доказанности факта поставки ФИО2 асфальтобетона.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обжалуемые судебные акты,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15.07.2021 между ФИО2 (заказчик), ФИО1 (поставщик) и ФИО3 (подрядчик) был заключен договор № 9/21 на строительство прямостенного каркасного ангара (площадью 1200 кв.м.) с навальной стеной из бетона, согласно условиям которого поставщик обязуется осуществить поставку материала для выполнения строительства ангара. Наименование, ассортимент, количество, цена товара, срок (период), порядок поставки и срок выполнения работ, способ доставки товара (доставка поставщиком или самовывоз) указываются в смете к настоящему договору. Согласно пункту 1.2 договора заказчик обязуется оплатить и принять поставляемый товар и выполненные работы. В соответствии с пунктом 1.3 договора подрядчик обязуется произвести: строительство прямостенного каркасного ангара общей площадью 1200 кв.м. (ширина – 20м, высота – 8м, длина – 60м) с навальной стеной из бетона (высотой 1,5 м, шириной 25см). Высота в коньке – 9,2м; высота по краю стены (ферм) – 6м; ворота (5х5 м.п.) – распашные; навальная стена (высота 1,5 м.п., глубина 25 см, арматура 10мм, шаг ячейки 25х30см); окрашена металлоконструкция в грунт -эмаль красного цвета; шаг колонн – 4 м.п.; шаг ферм – 4 м.п.; шаг обрешетника – 70 см (кровля); шаг обрешетника – 1 м.п. (стена); устройство гидрозащитного слоя на бетоне (мастика). Срок строительства – 45 дней с 01.08.2021. Согласно пункту 2.2 договора в редакции дополнительного соглашения от 15.07.2021, сумма договора включает в себя стоимость материала для выполнения строительства ангара, а также стоимость работ по строительству ангара и составляет 7 100 000 руб., с учетом НДС 20%. Работы, выполненные подрядчиком, оплачивает поставщик, из средств, перечисленных заказчиком. Сумма договора остается неизменной при внесении заказчиком на расчетный счет поставщика предварительной оплаты в размере 3 117 224 руб. Расчеты по настоящему договору производятся в следующем порядке: Заказчик до 31.07.2021 вносит предварительную оплату в размере 700 000 руб. на расчетный счет поставщика. На оставшуюся часть предварительной оплаты в размере 2 417 224 руб. подрядчиком производится выборка асфальтобетона марки В2 в количестве 456,08 тонн заказчика в период с 01.08.2021 по 10.09.2021. Окончательный расчет с поставщиком производится заказчиком в течение 30 дней с момента поставки материала и выполненных работ на основании акта выполненных работ, товарных накладных. Платёжными поручениями № 319 от 28.07.2021, № 318 от 27.07.2021 ФИО2 в пользу ФИО1 произведена оплата авансового платежа на сумму 700 000 руб. Как указал истец по первоначальному иску, ФИО2 поставила во исполнение обязательств по договору асфальтобетон марки В2 в количестве 456,08 тонн на общую сумму 2 417 224 руб., что подтверждается товарными накладными № 86/1/1 от 02.08.2021 на сумму 614 164 руб., № 86/3 от 04.08.2021 на сумму 576 110 руб., № 87/1 от 05.08.2021 на сумму 563 920 руб., № 88/1 от 11.08.2021 на сумму 452 355 руб., № 89/1 от 13.08.2021 на сумму 210 675 руб. Ссылаясь на то, что работы по строительству ангара не закончены, частично выполненные работы не соответствуют нормам действующего законодательства и заказчику причинены убытки, ФИО2 обратилась в суд с настоящим иском. ФИО3 обратился в суд со встречным иском, в котором просил взыскать с ФИО2 задолженность за фактически выполненные работы и понесенные затраты при строительстве ангара. Суд первой инстанции, разрешая настоящий спор, руководствуясь статьями 15 , 393 , 434 , 454 , 516 , 702 , 708 , 711 Гражданского кодекса Российской Федерации (далее – ГК РФ), положениями Федерального закона от 06.12.2011 № 402-ФЗ «О бухгалтерском учете», правовой позицией, изложенной в пунктах 8, 14 информационного письма Президиума Высшего Арбитражного Суда Российской Федерации от 24.01.2000 № 51 «Обзор практики разрешения споров по договору строительного подряда», пришел к выводу о том, что истец по первоначальному иску не доказал факт поставки асфальтобетона. Установив объем фактически выполненных подрядчиком работ по договору с учетом выплаченного заказчиком аванса, суд первой инстанции посчитал, что на стороне ответчиков отсутствует неосновательное обогащение. Признавая не подлежащим удовлетворению требование ФИО2 о взыскании заявленных убытков, суд сослался на недоказанность всех элементов состава гражданско-правового нарушения, необходимых и достаточных для привлечения ответчиков к ответственности в виде возмещения убытков в заявленной сумме. Отказывая в удовлетворении встречного иска, суд первой инстанции исходил из того, что требования ФИО3 заявлены к ненадлежащему ответчику. Повторно исследовав и оценив по правилам статьи 71 АПК РФ представленные доказательства, приняв во внимание заключение, составленное по результатам проведенной судебной экспертизы, руководствуясь статьями 15 , 322 - 323 , 393 , 450.1 , 702 , 708 , 711 , 717 , 720 , 740 , 746 , 753 , 1082 , 1102 ГК РФ , разъяснениями, данными в пунктах 11, 12 постановления Пленума Верховного Суда РФ от 23.06.2015 № 25 «О применении судами некоторых положений раздела I части первой Гражданского кодекса Российской Федерации», в пункте 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 апелляционной инстанции, с выводами которого согласился суд округа, отменил решение суда первой инстанции в части и взыскал с ФИО1 и ФИО3 солидарно в пользу ФИО2 1 417 914,80 руб. неотработанного аванса. При этом судебные инстанции исходили из выплаченного заказчиком аванса (700 000 руб.), доказанности факта поставки ФИО2 асфальтобетона на сумму 2 417 224 руб. и установленного объема фактически выполненных работ (1 699 309,20 руб.) по договору. Доводы кассационной жалобы были предметом рассмотрения судов и получили правовую оценку, не опровергают выводы судов, не подтверждают существенных нарушений судами норм права, повлиявших на исход дела, и не являются достаточным основанием для пересмотра судебных актов в кассационном порядке. Определение Арбитражного суда Поволжского округа от 04.10.2023 о возвращении кассационной жалобы ФИО1 не обжаловано в суд округа по правилам части 1 статьи 291 АПК РФ .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ИП Мананкова Светлана Николаевна (подробнее) Ответчики: ИП Кореннов М.В. (подробнее) ИП Николаева Екатерина Владимировна (подробнее) Иные лица: Арбитражный суд Поволжского округа (подробнее) Арбитражный суд Саратовской области (подробнее) Судьи дела: Чучунова Н.С. (судья) (подробнее) Судебная практика по: Упущенная выгода Судебная практика по применению норм ст. 15, 393 ГК РФ Неосновательное обогащение, взыскание неосновательного обогащения Судебная практика по применению нормы ст. 1102 ГК РФ Взыскание убытков Судебная практика по применению нормы ст. 393 ГК РФ По договору подряда Судебная практика по применению норм ст. 702, 703 ГК РФ По договору купли продажи, договор купли продажи недвижимости Судебная практика по применению нормы ст. 454 ГК РФ Возмещение убытков Судебная практика по применению нормы ст. 15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