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30.01.2023 требование включено в третью очередь реестра. Постановлением Пятнадцатого арбитражного апелляционного суда от 05.07.2023, оставленным без изменения постановлением Арбитражного суда Северо-Кавказского округа от 29.09.2023, определение от 30.01.2023 отменено, в удовлетворении заявления отказано. В кассационной жалобе Мотин С.Г. просит об отмене судебных актов апелляционного и окружного судов, ссылаясь на ненадлежащую оценку обстоятельств выдачи займа, игнорирование доказанности передачи денежных средств и возможности их предоставления кредитором.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пределах имеющихся в силу статьи 268 Арбитражного процессуального кодекса Российской Федерации полномочий оценил представленные в подтверждение наличия обязательства должника доказательства реального предоставления денежных средств и признал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Мотину Сергею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