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15.05.2023, оставленным без изменения постановлением Пятого арбитражного апелляционного суда от 17.07.2023 и постановлением Арбитражного суда Дальневосточного округа от 22.09.2023, заявление удовлетворено. В кассационной жалобе Сигинур А.Н. просит об отмене судебных актов, ссылаясь на неправильную оценку обстоятельств заключения оспариваемых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Требуемый пересмотр установленных обстоятельств совершения сделок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Сигинур Александре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