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11.01.2024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15.09.2023, срок на обжалование которого истек 15.11.2023.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позднее получение копий обжалуемых судебных актов.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и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Московского округа от 15.09.2023 заявитель мог ознакомиться 16.09.2023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общество имело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пункту 3.3.3. подраздела 3.1 Раздела III Порядка подачи документов в электронном виде в Верховный Суд Российской Федерации, утвержденного Председателем Верховного Суда Российской Федерации 29.11.2016 № 46-П,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Доказательств, свидетельствующих о том, что заявитель был лишен возможности обратиться в установленный срок в суд посредством заполнения 3 формы, размещенной на официальном сайте суда в информационно-телекоммуникационной сети Интернет, не представлено.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«Роял Интериорс» в удовлетворении ходатайства о восстановлении пропущенного процессуального срока. Кассационную жалобу на решение Арбитражного суда города Москвы от 21.03.2023, постановление Девятого арбитражного апелляционного суда от 06.06.2023 и постановление Арбитражного суда Московского округа от 15.09.2023 по делу № А40-1522/2023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